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46" w:rsidRDefault="009218B3">
      <w:r>
        <w:t>New-Age Digital Services</w:t>
      </w:r>
    </w:p>
    <w:p w:rsidR="004506EC" w:rsidRDefault="004506EC" w:rsidP="004506EC">
      <w:pPr>
        <w:pStyle w:val="Heading2"/>
      </w:pPr>
      <w:r>
        <w:t>1</w:t>
      </w:r>
      <w:r>
        <w:t>. Artificial Intelligence &amp; Emerging Technology</w:t>
      </w:r>
    </w:p>
    <w:p w:rsidR="004506EC" w:rsidRDefault="004506EC" w:rsidP="004506EC">
      <w:pPr>
        <w:pStyle w:val="ListBullet"/>
      </w:pPr>
      <w:r>
        <w:t>AI and machine learning implementation strategy</w:t>
      </w:r>
    </w:p>
    <w:p w:rsidR="004506EC" w:rsidRDefault="004506EC" w:rsidP="004506EC">
      <w:pPr>
        <w:pStyle w:val="ListBullet"/>
      </w:pPr>
      <w:r>
        <w:t>Robotic Process Automation (RPA) advisory</w:t>
      </w:r>
    </w:p>
    <w:p w:rsidR="004506EC" w:rsidRDefault="004506EC" w:rsidP="004506EC">
      <w:pPr>
        <w:pStyle w:val="ListBullet"/>
      </w:pPr>
      <w:proofErr w:type="spellStart"/>
      <w:r>
        <w:t>Blockchain</w:t>
      </w:r>
      <w:proofErr w:type="spellEnd"/>
      <w:r>
        <w:t xml:space="preserve"> technology and cryptocurrency advisory</w:t>
      </w:r>
    </w:p>
    <w:p w:rsidR="004506EC" w:rsidRDefault="004506EC" w:rsidP="004506EC">
      <w:pPr>
        <w:pStyle w:val="ListBullet"/>
      </w:pPr>
      <w:r>
        <w:t>Smart contracts and decentralized applications</w:t>
      </w:r>
    </w:p>
    <w:p w:rsidR="004506EC" w:rsidRDefault="004506EC" w:rsidP="004506EC">
      <w:pPr>
        <w:pStyle w:val="ListBullet"/>
      </w:pPr>
      <w:r>
        <w:t>AI-driven financial analytics</w:t>
      </w:r>
    </w:p>
    <w:p w:rsidR="004506EC" w:rsidRDefault="004506EC" w:rsidP="004506EC">
      <w:pPr>
        <w:pStyle w:val="ListBullet"/>
      </w:pPr>
      <w:r>
        <w:t>Predictive modeling and forecasting</w:t>
      </w:r>
    </w:p>
    <w:p w:rsidR="004506EC" w:rsidRDefault="004506EC" w:rsidP="004506EC">
      <w:pPr>
        <w:pStyle w:val="ListBullet"/>
      </w:pPr>
      <w:r>
        <w:t>Natural Language Processing (NLP) applications</w:t>
      </w:r>
    </w:p>
    <w:p w:rsidR="004506EC" w:rsidRDefault="004506EC" w:rsidP="004506EC">
      <w:pPr>
        <w:pStyle w:val="ListBullet"/>
      </w:pPr>
      <w:r>
        <w:t>Technology risk assessment</w:t>
      </w:r>
    </w:p>
    <w:p w:rsidR="004506EC" w:rsidRDefault="004506EC" w:rsidP="004506EC">
      <w:pPr>
        <w:pStyle w:val="ListBullet"/>
      </w:pPr>
      <w:r>
        <w:t>Ethical AI and governance frameworks</w:t>
      </w:r>
    </w:p>
    <w:p w:rsidR="004506EC" w:rsidRDefault="004506EC" w:rsidP="004506EC">
      <w:pPr>
        <w:pStyle w:val="ListBullet"/>
      </w:pPr>
      <w:r>
        <w:t>Technology selection and vendor evaluation</w:t>
      </w:r>
    </w:p>
    <w:p w:rsidR="004506EC" w:rsidRDefault="004506EC" w:rsidP="004506EC">
      <w:pPr>
        <w:pStyle w:val="Heading2"/>
      </w:pPr>
      <w:r>
        <w:t>2</w:t>
      </w:r>
      <w:r>
        <w:t>. Forensic Accounting &amp; Investigation</w:t>
      </w:r>
    </w:p>
    <w:p w:rsidR="004506EC" w:rsidRDefault="004506EC" w:rsidP="004506EC">
      <w:pPr>
        <w:pStyle w:val="ListBullet"/>
      </w:pPr>
      <w:r>
        <w:t>Fraud detection and investigation</w:t>
      </w:r>
    </w:p>
    <w:p w:rsidR="004506EC" w:rsidRDefault="004506EC" w:rsidP="004506EC">
      <w:pPr>
        <w:pStyle w:val="ListBullet"/>
      </w:pPr>
      <w:r>
        <w:t xml:space="preserve">Asset </w:t>
      </w:r>
      <w:proofErr w:type="spellStart"/>
      <w:r>
        <w:t>tracing</w:t>
      </w:r>
      <w:proofErr w:type="spellEnd"/>
      <w:r>
        <w:t xml:space="preserve"> and recovery</w:t>
      </w:r>
    </w:p>
    <w:p w:rsidR="004506EC" w:rsidRDefault="004506EC" w:rsidP="004506EC">
      <w:pPr>
        <w:pStyle w:val="ListBullet"/>
      </w:pPr>
      <w:r>
        <w:t>Financial statement fraud examination</w:t>
      </w:r>
    </w:p>
    <w:p w:rsidR="004506EC" w:rsidRDefault="004506EC" w:rsidP="004506EC">
      <w:pPr>
        <w:pStyle w:val="ListBullet"/>
      </w:pPr>
      <w:r>
        <w:t>Embezzlement and misappropriation investigations</w:t>
      </w:r>
    </w:p>
    <w:p w:rsidR="004506EC" w:rsidRDefault="004506EC" w:rsidP="004506EC">
      <w:pPr>
        <w:pStyle w:val="ListBullet"/>
      </w:pPr>
      <w:r>
        <w:t>Corruption and bribery investigations</w:t>
      </w:r>
    </w:p>
    <w:p w:rsidR="004506EC" w:rsidRDefault="004506EC" w:rsidP="004506EC">
      <w:pPr>
        <w:pStyle w:val="ListBullet"/>
      </w:pPr>
      <w:r>
        <w:t>Matrimonial and family dispute investigations</w:t>
      </w:r>
    </w:p>
    <w:p w:rsidR="004506EC" w:rsidRDefault="004506EC" w:rsidP="004506EC">
      <w:pPr>
        <w:pStyle w:val="ListBullet"/>
      </w:pPr>
      <w:r>
        <w:t>Insurance claim investigations</w:t>
      </w:r>
    </w:p>
    <w:p w:rsidR="004506EC" w:rsidRDefault="004506EC" w:rsidP="004506EC">
      <w:pPr>
        <w:pStyle w:val="ListBullet"/>
      </w:pPr>
      <w:r>
        <w:t>Expert witness testimony and litigation support</w:t>
      </w:r>
    </w:p>
    <w:p w:rsidR="004506EC" w:rsidRDefault="004506EC" w:rsidP="004506EC">
      <w:pPr>
        <w:pStyle w:val="ListBullet"/>
      </w:pPr>
      <w:r>
        <w:t>Anti-money laundering (AML) compliance</w:t>
      </w:r>
    </w:p>
    <w:p w:rsidR="004506EC" w:rsidRDefault="004506EC" w:rsidP="004506EC">
      <w:pPr>
        <w:pStyle w:val="ListBullet"/>
      </w:pPr>
      <w:r>
        <w:t>Whistleblower investigation services</w:t>
      </w:r>
    </w:p>
    <w:p w:rsidR="004506EC" w:rsidRDefault="004506EC" w:rsidP="004506EC">
      <w:pPr>
        <w:pStyle w:val="ListBullet"/>
      </w:pPr>
      <w:r>
        <w:t>Digital forensics and cybercrime investigation</w:t>
      </w:r>
    </w:p>
    <w:p w:rsidR="004506EC" w:rsidRDefault="004506EC" w:rsidP="004506EC">
      <w:pPr>
        <w:pStyle w:val="Heading2"/>
      </w:pPr>
      <w:r>
        <w:t>3</w:t>
      </w:r>
      <w:r>
        <w:t>. Social Impact &amp; ESG Advisory</w:t>
      </w:r>
    </w:p>
    <w:p w:rsidR="004506EC" w:rsidRDefault="004506EC" w:rsidP="004506EC">
      <w:pPr>
        <w:pStyle w:val="ListBullet"/>
      </w:pPr>
      <w:r>
        <w:t>ESG strategy development and implementation</w:t>
      </w:r>
    </w:p>
    <w:p w:rsidR="004506EC" w:rsidRDefault="004506EC" w:rsidP="004506EC">
      <w:pPr>
        <w:pStyle w:val="ListBullet"/>
      </w:pPr>
      <w:r>
        <w:t>Sustainability reporting (GRI, SASB, TCFD)</w:t>
      </w:r>
    </w:p>
    <w:p w:rsidR="004506EC" w:rsidRDefault="004506EC" w:rsidP="004506EC">
      <w:pPr>
        <w:pStyle w:val="ListBullet"/>
      </w:pPr>
      <w:r>
        <w:t>Carbon footprint measurement and reduction</w:t>
      </w:r>
    </w:p>
    <w:p w:rsidR="004506EC" w:rsidRDefault="004506EC" w:rsidP="004506EC">
      <w:pPr>
        <w:pStyle w:val="ListBullet"/>
      </w:pPr>
      <w:r>
        <w:t>Social impact assessment and measurement</w:t>
      </w:r>
    </w:p>
    <w:p w:rsidR="004506EC" w:rsidRDefault="004506EC" w:rsidP="004506EC">
      <w:pPr>
        <w:pStyle w:val="ListBullet"/>
      </w:pPr>
      <w:r>
        <w:t>CSR strategy and compliance (Section 135)</w:t>
      </w:r>
    </w:p>
    <w:p w:rsidR="004506EC" w:rsidRDefault="004506EC" w:rsidP="004506EC">
      <w:pPr>
        <w:pStyle w:val="ListBullet"/>
      </w:pPr>
      <w:r>
        <w:t>Stakeholder engagement and materiality assessment</w:t>
      </w:r>
    </w:p>
    <w:p w:rsidR="004506EC" w:rsidRDefault="004506EC" w:rsidP="004506EC">
      <w:pPr>
        <w:pStyle w:val="ListBullet"/>
      </w:pPr>
      <w:r>
        <w:t>ESG due diligence for investments</w:t>
      </w:r>
    </w:p>
    <w:p w:rsidR="004506EC" w:rsidRDefault="004506EC" w:rsidP="004506EC">
      <w:pPr>
        <w:pStyle w:val="ListBullet"/>
      </w:pPr>
      <w:r>
        <w:t>Green finance and sustainable investing advisory</w:t>
      </w:r>
    </w:p>
    <w:p w:rsidR="004506EC" w:rsidRDefault="004506EC" w:rsidP="004506EC">
      <w:pPr>
        <w:pStyle w:val="ListBullet"/>
      </w:pPr>
      <w:r>
        <w:t>Circular economy and waste management advisory</w:t>
      </w:r>
    </w:p>
    <w:p w:rsidR="004506EC" w:rsidRDefault="004506EC" w:rsidP="004506EC">
      <w:pPr>
        <w:pStyle w:val="ListBullet"/>
      </w:pPr>
      <w:r>
        <w:t>Diversity, equity, and inclusion (DEI) programs</w:t>
      </w:r>
    </w:p>
    <w:p w:rsidR="004506EC" w:rsidRDefault="004506EC" w:rsidP="004506EC">
      <w:pPr>
        <w:pStyle w:val="ListBullet"/>
      </w:pPr>
      <w:r>
        <w:t>Impact investing measurement and reporting</w:t>
      </w:r>
    </w:p>
    <w:p w:rsidR="004506EC" w:rsidRDefault="004506EC" w:rsidP="004506EC">
      <w:pPr>
        <w:pStyle w:val="Heading2"/>
      </w:pPr>
      <w:r>
        <w:t>4</w:t>
      </w:r>
      <w:r>
        <w:t>. Data Analytics &amp; Business Intelligence</w:t>
      </w:r>
    </w:p>
    <w:p w:rsidR="004506EC" w:rsidRDefault="004506EC" w:rsidP="004506EC">
      <w:pPr>
        <w:pStyle w:val="ListBullet"/>
      </w:pPr>
      <w:r>
        <w:t>Business intelligence dashboard development</w:t>
      </w:r>
    </w:p>
    <w:p w:rsidR="004506EC" w:rsidRDefault="004506EC" w:rsidP="004506EC">
      <w:pPr>
        <w:pStyle w:val="ListBullet"/>
      </w:pPr>
      <w:r>
        <w:t>Predictive and prescriptive analytics</w:t>
      </w:r>
    </w:p>
    <w:p w:rsidR="004506EC" w:rsidRDefault="004506EC" w:rsidP="004506EC">
      <w:pPr>
        <w:pStyle w:val="ListBullet"/>
      </w:pPr>
      <w:r>
        <w:t>Big data strategy and implementation</w:t>
      </w:r>
    </w:p>
    <w:p w:rsidR="004506EC" w:rsidRDefault="004506EC" w:rsidP="004506EC">
      <w:pPr>
        <w:pStyle w:val="ListBullet"/>
      </w:pPr>
      <w:r>
        <w:t>Data mining and pattern recognition</w:t>
      </w:r>
    </w:p>
    <w:p w:rsidR="004506EC" w:rsidRDefault="004506EC" w:rsidP="004506EC">
      <w:pPr>
        <w:pStyle w:val="ListBullet"/>
      </w:pPr>
      <w:r>
        <w:t>Customer analytics and segmentation</w:t>
      </w:r>
    </w:p>
    <w:p w:rsidR="004506EC" w:rsidRDefault="004506EC" w:rsidP="004506EC">
      <w:pPr>
        <w:pStyle w:val="ListBullet"/>
      </w:pPr>
      <w:r>
        <w:lastRenderedPageBreak/>
        <w:t>Financial analytics and modeling</w:t>
      </w:r>
    </w:p>
    <w:p w:rsidR="004506EC" w:rsidRDefault="004506EC" w:rsidP="004506EC">
      <w:pPr>
        <w:pStyle w:val="ListBullet"/>
      </w:pPr>
      <w:r>
        <w:t>Supply chain analytics and optimization</w:t>
      </w:r>
    </w:p>
    <w:p w:rsidR="004506EC" w:rsidRDefault="004506EC" w:rsidP="004506EC">
      <w:pPr>
        <w:pStyle w:val="ListBullet"/>
      </w:pPr>
      <w:r>
        <w:t>Marketing analytics and ROI measurement</w:t>
      </w:r>
    </w:p>
    <w:p w:rsidR="004506EC" w:rsidRDefault="004506EC" w:rsidP="004506EC">
      <w:pPr>
        <w:pStyle w:val="ListBullet"/>
      </w:pPr>
      <w:r>
        <w:t>Risk analytics and early warning systems</w:t>
      </w:r>
    </w:p>
    <w:p w:rsidR="004506EC" w:rsidRDefault="004506EC" w:rsidP="004506EC">
      <w:pPr>
        <w:pStyle w:val="ListBullet"/>
      </w:pPr>
      <w:r>
        <w:t>Data governance and quality management</w:t>
      </w:r>
    </w:p>
    <w:p w:rsidR="004506EC" w:rsidRDefault="004506EC" w:rsidP="004506EC">
      <w:pPr>
        <w:pStyle w:val="ListBullet"/>
      </w:pPr>
      <w:r>
        <w:t>Self-service analytics enablement</w:t>
      </w:r>
    </w:p>
    <w:p w:rsidR="004506EC" w:rsidRDefault="004506EC" w:rsidP="004506EC">
      <w:pPr>
        <w:pStyle w:val="Heading2"/>
      </w:pPr>
      <w:r>
        <w:t>5</w:t>
      </w:r>
      <w:r>
        <w:t>. Cybersecurity &amp; Risk Management</w:t>
      </w:r>
    </w:p>
    <w:p w:rsidR="004506EC" w:rsidRDefault="004506EC" w:rsidP="004506EC">
      <w:pPr>
        <w:pStyle w:val="ListBullet"/>
      </w:pPr>
      <w:r>
        <w:t>Cybersecurity risk assessment and audit</w:t>
      </w:r>
    </w:p>
    <w:p w:rsidR="004506EC" w:rsidRDefault="004506EC" w:rsidP="004506EC">
      <w:pPr>
        <w:pStyle w:val="ListBullet"/>
      </w:pPr>
      <w:r>
        <w:t>Information security policy development</w:t>
      </w:r>
    </w:p>
    <w:p w:rsidR="004506EC" w:rsidRDefault="004506EC" w:rsidP="004506EC">
      <w:pPr>
        <w:pStyle w:val="ListBullet"/>
      </w:pPr>
      <w:r>
        <w:t>Vulnerability assessment and penetration testing</w:t>
      </w:r>
    </w:p>
    <w:p w:rsidR="004506EC" w:rsidRDefault="004506EC" w:rsidP="004506EC">
      <w:pPr>
        <w:pStyle w:val="ListBullet"/>
      </w:pPr>
      <w:r>
        <w:t>Incident response planning and management</w:t>
      </w:r>
    </w:p>
    <w:p w:rsidR="004506EC" w:rsidRDefault="004506EC" w:rsidP="004506EC">
      <w:pPr>
        <w:pStyle w:val="ListBullet"/>
      </w:pPr>
      <w:r>
        <w:t>Security awareness training programs</w:t>
      </w:r>
    </w:p>
    <w:p w:rsidR="004506EC" w:rsidRDefault="004506EC" w:rsidP="004506EC">
      <w:pPr>
        <w:pStyle w:val="ListBullet"/>
      </w:pPr>
      <w:r>
        <w:t>Data protection and privacy compliance</w:t>
      </w:r>
    </w:p>
    <w:p w:rsidR="004506EC" w:rsidRDefault="004506EC" w:rsidP="004506EC">
      <w:pPr>
        <w:pStyle w:val="ListBullet"/>
      </w:pPr>
      <w:r>
        <w:t>Business continuity and disaster recovery planning</w:t>
      </w:r>
    </w:p>
    <w:p w:rsidR="004506EC" w:rsidRDefault="004506EC" w:rsidP="004506EC">
      <w:pPr>
        <w:pStyle w:val="ListBullet"/>
      </w:pPr>
      <w:r>
        <w:t>Third-party risk management</w:t>
      </w:r>
    </w:p>
    <w:p w:rsidR="004506EC" w:rsidRDefault="004506EC" w:rsidP="004506EC">
      <w:pPr>
        <w:pStyle w:val="ListBullet"/>
      </w:pPr>
      <w:r>
        <w:t>Cyber insurance advisory</w:t>
      </w:r>
    </w:p>
    <w:p w:rsidR="004506EC" w:rsidRDefault="004506EC" w:rsidP="004506EC">
      <w:pPr>
        <w:pStyle w:val="ListBullet"/>
      </w:pPr>
      <w:r>
        <w:t>Compliance with cybersecurity regulations</w:t>
      </w:r>
    </w:p>
    <w:p w:rsidR="004506EC" w:rsidRDefault="004506EC" w:rsidP="004506EC">
      <w:pPr>
        <w:pStyle w:val="ListBullet"/>
      </w:pPr>
      <w:r>
        <w:t>Security operations center (SOC) advisory</w:t>
      </w:r>
    </w:p>
    <w:p w:rsidR="004506EC" w:rsidRDefault="004506EC" w:rsidP="004506EC">
      <w:pPr>
        <w:pStyle w:val="Heading2"/>
      </w:pPr>
      <w:r>
        <w:t>6</w:t>
      </w:r>
      <w:bookmarkStart w:id="0" w:name="_GoBack"/>
      <w:bookmarkEnd w:id="0"/>
      <w:r>
        <w:t>. Digital Transformation &amp; Automation</w:t>
      </w:r>
    </w:p>
    <w:p w:rsidR="004506EC" w:rsidRDefault="004506EC" w:rsidP="004506EC">
      <w:pPr>
        <w:pStyle w:val="ListBullet"/>
      </w:pPr>
      <w:r>
        <w:t>Digital transformation strategy and roadmap</w:t>
      </w:r>
    </w:p>
    <w:p w:rsidR="004506EC" w:rsidRDefault="004506EC" w:rsidP="004506EC">
      <w:pPr>
        <w:pStyle w:val="ListBullet"/>
      </w:pPr>
      <w:r>
        <w:t>Business process digitization</w:t>
      </w:r>
    </w:p>
    <w:p w:rsidR="004506EC" w:rsidRDefault="004506EC" w:rsidP="004506EC">
      <w:pPr>
        <w:pStyle w:val="ListBullet"/>
      </w:pPr>
      <w:r>
        <w:t>Workflow automation and optimization</w:t>
      </w:r>
    </w:p>
    <w:p w:rsidR="004506EC" w:rsidRDefault="004506EC" w:rsidP="004506EC">
      <w:pPr>
        <w:pStyle w:val="ListBullet"/>
      </w:pPr>
      <w:r>
        <w:t>Cloud migration strategy and implementation</w:t>
      </w:r>
    </w:p>
    <w:p w:rsidR="004506EC" w:rsidRDefault="004506EC" w:rsidP="004506EC">
      <w:pPr>
        <w:pStyle w:val="ListBullet"/>
      </w:pPr>
      <w:r>
        <w:t>Digital workplace solutions</w:t>
      </w:r>
    </w:p>
    <w:p w:rsidR="004506EC" w:rsidRDefault="004506EC" w:rsidP="004506EC">
      <w:pPr>
        <w:pStyle w:val="ListBullet"/>
      </w:pPr>
      <w:r>
        <w:t>API integration and middleware solutions</w:t>
      </w:r>
    </w:p>
    <w:p w:rsidR="004506EC" w:rsidRDefault="004506EC" w:rsidP="004506EC">
      <w:pPr>
        <w:pStyle w:val="ListBullet"/>
      </w:pPr>
      <w:r>
        <w:t>Low-code/no-code platform implementation</w:t>
      </w:r>
    </w:p>
    <w:p w:rsidR="004506EC" w:rsidRDefault="004506EC" w:rsidP="004506EC">
      <w:pPr>
        <w:pStyle w:val="ListBullet"/>
      </w:pPr>
      <w:r>
        <w:t>Paperless office transformation</w:t>
      </w:r>
    </w:p>
    <w:p w:rsidR="004506EC" w:rsidRDefault="004506EC" w:rsidP="004506EC">
      <w:pPr>
        <w:pStyle w:val="ListBullet"/>
      </w:pPr>
      <w:r>
        <w:t>Change management and training</w:t>
      </w:r>
    </w:p>
    <w:p w:rsidR="004506EC" w:rsidRDefault="004506EC" w:rsidP="004506EC">
      <w:pPr>
        <w:pStyle w:val="ListBullet"/>
      </w:pPr>
      <w:r>
        <w:t>Digital maturity assessment</w:t>
      </w:r>
    </w:p>
    <w:p w:rsidR="004506EC" w:rsidRDefault="004506EC" w:rsidP="004506EC">
      <w:pPr>
        <w:pStyle w:val="ListBullet"/>
      </w:pPr>
      <w:r>
        <w:t>Technology stack optimization</w:t>
      </w:r>
    </w:p>
    <w:p w:rsidR="004506EC" w:rsidRDefault="004506EC"/>
    <w:sectPr w:rsidR="004506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FCA7D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8B3"/>
    <w:rsid w:val="001222E6"/>
    <w:rsid w:val="004506EC"/>
    <w:rsid w:val="00506A46"/>
    <w:rsid w:val="009154A9"/>
    <w:rsid w:val="009218B3"/>
    <w:rsid w:val="00A354A1"/>
    <w:rsid w:val="00D31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06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506EC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/>
      <w14:ligatures w14:val="none"/>
    </w:rPr>
  </w:style>
  <w:style w:type="paragraph" w:styleId="ListBullet">
    <w:name w:val="List Bullet"/>
    <w:basedOn w:val="Normal"/>
    <w:uiPriority w:val="99"/>
    <w:unhideWhenUsed/>
    <w:rsid w:val="004506EC"/>
    <w:pPr>
      <w:numPr>
        <w:numId w:val="1"/>
      </w:numPr>
      <w:contextualSpacing/>
    </w:pPr>
    <w:rPr>
      <w:rFonts w:ascii="Arial" w:eastAsiaTheme="minorEastAsia" w:hAnsi="Arial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06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506EC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/>
      <w14:ligatures w14:val="none"/>
    </w:rPr>
  </w:style>
  <w:style w:type="paragraph" w:styleId="ListBullet">
    <w:name w:val="List Bullet"/>
    <w:basedOn w:val="Normal"/>
    <w:uiPriority w:val="99"/>
    <w:unhideWhenUsed/>
    <w:rsid w:val="004506EC"/>
    <w:pPr>
      <w:numPr>
        <w:numId w:val="1"/>
      </w:numPr>
      <w:contextualSpacing/>
    </w:pPr>
    <w:rPr>
      <w:rFonts w:ascii="Arial" w:eastAsiaTheme="minorEastAsia" w:hAnsi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Vikas Kumar</dc:creator>
  <cp:lastModifiedBy>Vikas Kumar</cp:lastModifiedBy>
  <cp:revision>2</cp:revision>
  <dcterms:created xsi:type="dcterms:W3CDTF">2026-02-16T09:18:00Z</dcterms:created>
  <dcterms:modified xsi:type="dcterms:W3CDTF">2026-02-16T09:19:00Z</dcterms:modified>
</cp:coreProperties>
</file>